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340 / 77 vom 21. August 2007</w:t>
      </w:r>
    </w:p>
    <w:p>
      <w:r>
        <w:t>BL Gerichte, 2007-08-21, DE</w:t>
      </w:r>
    </w:p>
    <w:p>
      <w:r>
        <w:rPr>
          <w:b/>
        </w:rPr>
        <w:t xml:space="preserve">Quelle: </w:t>
      </w:r>
      <w:r>
        <w:t>https://mcp.opencaselaw.ch/entscheid/bl_gerichte_720 2012 340 _ 77</w:t>
      </w:r>
    </w:p>
    <w:p>
      <w:r>
        <w:t>FR: BL_GERICHTE 720 2012 340 / 77 du 21 août 2007</w:t>
      </w:r>
    </w:p>
    <w:p>
      <w:r>
        <w:t>IT: BL_GERICHTE 720 2012 340 / 77 del 21 agosto 2007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 November 2012 ist demnach einzutreten. 2.1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2.2 Nach Art. 28 Abs. 1 IVG (in der bis Ende 2007 gültig gewesenen Fassung) bzw. nach Art. 28 Abs. 2 IVG (in der seit 1. Januar 2008 anwendbaren Fassung) hat die versicherte Person Anspruch auf eine ganze Rente, wenn sie zu mindestens 70 %, auf eine Dreiviertelsrente, wenn sie zu mindestens 60 %, auf eine halbe Rente, wenn sie zu mindestens 50 % und auf eine Viertelsrente, wenn sie zu mindestens 40 % invalid ist. 2.3 Für die Bemessung der Invalidität von erwerbstätigen Versicherten ist Art. 16 ATSG anwendbar (Art. 28 Abs. 2 IVG [in der bis 31. Dezember 2007 gültig gewesenen Fassung] bzw. Art. 28a Abs. 1 IVG [in der seit 1. Januar 2008 anwendbaren Fassung]).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3</w:t>
      </w:r>
    </w:p>
    <w:p>
      <w:r>
        <w:t>Ausgangspunkt der Ermittlung des Invaliditätsgrades bildet die Frage, in welchem Ausmass die versicherte Person aufgrund ihrer gesundheitlichen Beeinträchtigungen arbeitsunfähig ist.</w:t>
      </w:r>
    </w:p>
    <w:p>
      <w:r>
        <w:rPr>
          <w:b/>
        </w:rPr>
        <w:t>E. 3.1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seit 1. Januar 2007: Bundesgericht, sozialrechtliche Abteilungen) bleibt folglich weitestgehend anwendbar (BGE 130 V 345 E. 3.1.1).</w:t>
      </w:r>
    </w:p>
    <w:p>
      <w:r>
        <w:rPr>
          <w:b/>
        </w:rPr>
        <w:t>E. 3.2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3.4</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Nachdem sich der Beschwerdeführer bei der IV zum Bezug von Leistungen angemeldet hatte, zog die IV-Stelle als erstes bei der SUVA die das Unfallereignis vom 26. Januar 2004 betreffenden Unfallakten bei. Diese enthielten verschiedene (fach-) ärztliche Berichte, die sich zum Gesundheitszustand und - teilweise - zur Arbeitsfähigkeit des Versicherten äusserten. Da die Unterlagen nach Auffassung der IV-Stelle jedoch keine abschliessende Beurteilung des aus IVrechtlicher Sicht relevanten medizinischen Sachverhaltes zuliessen, gab die IV-Stelle bei der Begutachtungsstelle C. eine polydisziplinäre Begutachtung des Versicherten in Auftrag. Das Ärzteteam der Begutachtungsstelle C. führte beim Exploranden internistische, rheumatologische, neurologische, neuropsychologische und psychosomatische Untersuchungen durch. Gestützt auf seine Abklärungen hielt es in seinem ausführlichen Gutachten vom 29. April 2010 folgende Diagnosen mit Einfluss auf die Arbeitsfähigkeit fest: (1) ein chronisches zervikozephales Schmerzsyndrom (ICD-10 M53.0) mit/bei (1.1) ausgeprägten degenerativen Veränderungen ohne Hinweise auf radikuläre Kompression oder Kompression des Myelons (CT HWS vom 26.02.2004) und (1.2) klinisch-neurologisch keinen Hinweisen auf eine auslösende, begleitende Radikulooder Myelopathie; (2) einen Status nach HWS-Distorsionstrauma (ICD-10 S13.4) bei Auffahrunfall am 26.01.2004 ohne milde traumatische Hirnverletzung sowie (3) eine leichte neuropsychische Störung (ICD-10 F06.07). In Bezug auf die Arbeitsfähigkeit des Versicherten gelangte das Gutachterteam der Begutachtungsstelle C. im Rahmen seiner gemeinsam vorgenommenen Konsensbeurteilung zur Auffassung, dass für die zuletzt ausgeübte Tätigkeit im Büro und als Verkäufer im Aussendienst, welche als körperlich leichte Arbeit eingestuft werden könne, auf Grund des chronischen zervikozephalen Schmerzsyndroms mit Kopfschmerzattacken und der leichten neuropsychischen Störung eine 80 %-ige Arbeitsfähigkeit bestehe. Die 20 %-ige Einschränkung ergebe sich durch die bei Schmerzen verminderte Arbeitsgeschwindigkeit sowie den Bedarf nach vermehrten Pausen zur Durchführung von Selbstübungen; insgesamt bestehe bei chronischen Nackenbeschwerden eine etwas verminderte Belastbarkeit. Für anderweitige leichte Verweistätigkeiten bestehe ebenfalls eine Arbeitsfähigkeit von 80 %. Bei solchen Verweistätigkeiten sollte darauf geachtet werden, dass Zwangshaltungen und Arbeiten mit repetitiven Wirbelsäulenrotationen oder -beugungen, vor allem des HWS-Bereichs, sowie mechanisch länger dauernde Erschütterungen und routinemässige Trag-arbeiten bis Schulterhöhe über 10 kg und über Schulterhöhe über 5 kg vermieden werden sollten. Zudem sollten auch bei diesen Verweistätigkeiten kurze Erholungspausen ermöglicht werden. Mittelschwere und schwere Verweistätigkeiten seien dem Versicherten auf Grund des chronischen zervikozephalen Schmerzsyndroms nicht mehr möglich. 4.2. Die IV-Stelle stützte sich in den angefochtenen Verfügungen vom 11. Oktober 2012 bei der Beurteilung des Gesundheitszustandes und der Arbeitsfähigkeit des Versicherten vollumfänglich auf die Ergebnisse, zu denen die Gutachter der Begutachtungsstelle C. in ihrem polydisziplinären Gutachten vom 29. April 2010 gelangt sind. Sie ging demzufolge davon aus, dass beim Versicherten für die zuletzt ausgeübte Tätigkeit im Büro und als Verkäufer im Aussendienst sowie für anderweitige leichte Verweistätigkeiten eine Arbeitsfähigkeit von 80 % bestehe. Diese vorinstanzliche Beweiswürdigung ist jedenfalls insoweit nicht zu beanstanden, als sie den Zeitraum ab Erstellung des Gutachtens der Begutachtungsstelle C. (Ende April 2010) betrifft (vgl. dazu E. 4.4 und 4.5 hiernach). Wie oben ausgeführt (vgl. E. 3.4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der Begutachtungsstelle C. vom 29. April 2010 weist weder formale noch inhaltliche Mängel auf, es ist - wie dies vom Bundesgericht verlangt wird (vgl. E. 3.3 hiervor)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Insbesondere nimmt es auch eine schlüssige Beurteilung der aktuellen Arbeitsfähigkeit des Versicherten vor. 4.3 Was der Beschwerdeführer vorbringt, ist nicht geeignet, die ausschlaggebende Beweiskraft des Gutachtens der Begutachtungsstelle C. in Frage zu stellen. Insbesondere kann der Versicherte aus der abweichenden Einschätzung der Arbeitsfähigkeit durch den Hausarzt Dr. med. D. , Allgemeinmedizin FMH, nichts zu seinen Gunsten ableiten. Dieser attestiert dem Versicherten gemäss Bericht vom 11./28. August 2009 eine bleibende 50 %-ige Arbeitsunfähigkeit ab 24. Mai 2004. Wie die IV-Stelle in ihrer Vernehmlassung zutreffend geltend macht, kann man sich bei der Würdigung dieser Beurteilung jedoch des Eindrucks nicht erwehren, dass sich Dr. D. letztlich durch die subjektive Einschätzung des Beschwerdeführers hat leiten lassen, der sich selber bis auf Weiteres lediglich noch in diesem Ausmass für arbeitsfähig hält. Laut den schlüssigen Ausführungen der Gutachter der Begutachtungsstelle C. lässt sich diese (Selbst-) Einschätzung aber aus medizinischer Sicht nicht objektivieren. 4.4 Zwischen den Parteien ist unbestritten, dass der Versicherte ab Januar 2005 (Ablauf des Wartejahres) in seiner angestammten und in jeder anderweitigen leichten Verweistätigkeit zu 50 % arbeitsfähig war. Laut der von der IV-Stelle in der angefochtenen Verfügung vertretenen Auffassung war dem Versicherten die Ausübung der genannten (Verweis-)Tätigkeiten ab März 2006 jedoch wieder im Umfang von 80 % zumutbar. Die IV-Stelle stützte sich bei dieser Einschätzung auf einen Bericht von Dr. med. E. , Neurologie FMH, vom 21. März 2006. Darin habe dieser zum Ausdruck gebracht, dass es im Vergleich zu seinem ersten Bericht vom 1. Juni 2004 zu einer klaren Verbesserung des Gesundheitszustandes des Versicherten gekommen sei. Diese Einschätzung der IV-Stelle, wonach ab März 2006 wieder von einer 80 %-igen Arbeitsfähigkeit des Versicherten auszugehen sei, vermag nicht zu überzeugen. Richtig ist zwar, dass ein Vergleich der Berichte von Dr. E. vom 1. Juni 2004 und vom 21. März 2006 eine gewisse Verbesserung ausweist, wesentlich ist aber, dass sich Dr. E. im März 2006 nicht in der Lage sah, die Arbeitsfähigkeit insgesamt, d.h. unter Berücksichtigung sämtlicher Beeinträchtigungen, zu beurteilen. Er erachtete diesbezüglich eine zusätzliche Stellungnahme aus neuropsychologischer Sicht für notwendig. Dies ist denn auch durchaus nachvollziehbar, wurden doch damals die neuropsychologischen Defizite als zweites Hauptproblem neben den (etwas gelinderten) Kopfschmerzen geschildert, welche - so Dr. E. - ihrerseits schon eine Reduktion des Rendements im Bereich von 20-30 % zur Folge hätten. In seinen weiteren Ausführungen hielt Dr. E. sodann fest, dass nichts einzuwenden sei gegen eine probehalber erfolgende schrittweise Steigerung der Arbeitsfähigkeit, wobei die SUVA - als damals leistender Unfallversicherer - „vielleicht einmal abklären muss“, ob die tatsächliche Leistung des Versicherten nicht mehr als 50% betrage und somit auch formal eine höhere Arbeitsfähigkeit attestiert werden könnte. Im nächsten Abschnitt seines Berichts ging Dr. E. jedoch wiederum von einer 50 %-igen Arbeitsfähigkeit des Versicherten aus. Dies deckt sich im Übrigen auch weitgehend mit der Einschätzung der damaligen Arbeitgeberin des Versicherten, welche dessen Leistung im Mai 2006 gegenüber der SUVA mit höchstens 50 % bezifferte. 4.5 Entgegen der Auffassung der IV-Stelle kann deshalb nach dem Gesagten nicht davon ausgegangen werden, dass der Beschwerdeführer (bereits) ab März 2006 wieder zu 80 % arbeitsfähig war. Eine entsprechende Erhöhung der Arbeitsfähigkeit ist erst durch das Gutachten der Begutachtungsstelle C. mit dem erforderlichen Beweisgrad der überwiegenden Wahrscheinlichkeit ausgewiesen, wobei sich die betreffende Einschätzung der Arbeitsfähigkeit durch die Gutachter der Begutachtungsstelle C. auf den Zeitpunkt der Erstellung des Gutachtens (29. April 2010) bezieht. Für den relevanten Zeitraum davor (Januar 2005 bis April 2010) lassen sich dem Gutachten der Begutachtungsstelle C. dagegen keine schlüssigen und überzeugenden Aussagen entnehmen. Da von weiteren Abklärungen diesbezüglich keine zusätzlichen Erkenntnisse zu erwarten sind, ist im Ergebnis für den Zeitraum vom 26. Januar 2005 (Ablauf des Wartejahres) bis 29. April 2010 (Erstellung des Gutachtens der Begutachtungsstelle C. ) von einer 50 %-igen und anschliessend von einer 80 %-igen Arbeitsfähigkeit des Versicherten in der zuletzt ausgeübten Tätigkeit im Büro und als Verkäufer im Aussendienst sowie in anderweitigen leichten Verweistätigkeiten auszugehen. 5.1 Wie bereits weiter oben ausgeführt (vgl. E. 2.3 hiervor), ist der Invaliditätsgrad bei erwerbstätigen Versicherten aufgrund eines Einkommensvergleichs zu bestimmen (Art. 16 ATSG). Die IV-Stelle hat in den angefochtenen Verfügungen vom 11. Oktober 2012 die erforderlichen Einkommensvergleiche vorgenommen. Darin ist sie von einem Valideneinkommen von Fr. 119’154.-- für das Jahr 2005 und von Fr. 119'988.-- (für das Jahr 2006) ausgegangen und hat dieses ausgehend von einer 50 %-igen Arbeitsfähigkeit einem zumutbaren Invalideneinkommen von Fr. 39’000.-- bzw. ausgehend von einer 80 %-igen Arbeitsfähigkeit einem solchen von Fr. 62'400.-- gegenübergestellt. Daraus resultierten in den beiden Einkommensvergleichen Invaliditätsgrade von 67 % (bei 50 %-iger Arbeitsfähigkeit) und von 48 % (bei 80 %-iger Arbeitsfähigkeit). Diese Einkommensvergleiche erweisen sich grundsätzlich, d.h. vorbehältlich der nachfolgenden minimalen Präzisierungen, als rechtens. In ihrer Vernehmlassung hat die IV-Stelle das massgebende Valideneinkommen neu mit Fr. 115'109.-- (für das Jahr 2005) bzw. mit Fr. 115'915.-- (für das Jahr 2006) beziffert. Ob diese nachträgliche Korrekturen, zu denen sich der Versicherte im Rahmen des vorliegenden Beschwerdeverfahrens nicht mehrt äussern konnte, richtig sind, braucht vorliegend nicht weiter geprüft zu werden. Selbst wenn man mit der IV-Stelle von den genannten tieferen Valideneinkommen ausgeht, resultieren daraus im Einkommensvergleich zwar leicht tiefere Invaliditätsgrade von 66 % (bei 50 %-iger Arbeitsfähigkeit) und von 46 % (bei 80 %-iger Arbeitsfähigkeit), im Ergebnis ändert dies aber nichts an den grundsätzlichen Ansprüchen des Beschwerdeführers auf eine Dreiviertelsrente (bei IV-Graden von 67 % oder 66 %) und auf eine Viertelsrente (bei IV-Graden von 48 % oder 46 %). 5.2 Aus dem Gesagten folgt zusammenfassend, dass beim Beschwerdeführer ab 26. Januar 2005 - je nach Höhe des als massgebend erachteten Valideneinkommens (vgl. E. 5.1 hiervor) - ein IV-Grad von 67 % oder 66 % und ab 29. April 2010 ein solcher von 48 % oder 46 % vorgelegen hat. Gemäss Art. 88a Abs. 1 der Verordnung über die Invalidenversicherung (IVV) vom 17. Januar 1961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Daraus folgt, dass der tiefere IV-Grad des Versicherten bei der Festsetzung der ihm zustehenden abgestuften Rente ab 29. Juli 2010 zu berücksichtigen ist. Der Beschwerdeführer hat deshalb mit Wirkung ab 1. Januar 2005 Anspruch auf eine Dreiviertelsrente und mit Wirkung ab 1. August 2010 Anspruch auf eine Viertelsrente.</w:t>
      </w:r>
    </w:p>
    <w:p>
      <w:r>
        <w:rPr>
          <w:b/>
        </w:rPr>
        <w:t>E. 6</w:t>
      </w:r>
    </w:p>
    <w:p>
      <w:r>
        <w:t>Im Ergebnis ist somit die vorliegende Beschwerde in dem Sinne gutzuheissen, als die angefochtenen Verfügungen der IV-Stelle vom 11. Oktober 2012 aufzuheben sind und festzustellen ist, dass der Beschwerdeführer mit Wirkung ab 1. Januar 2005 Anspruch auf eine Dreiviertelsrente und mit Wirkung ab 1. August 2010 auf eine Viertelsrente hat. 7.1 Beim Entscheid über die Verlegung der Verfahrens- und der Parteikosten ist grundsätzlich auf den Prozessausgang abzustellen. Vorliegend ist der Beschwerdeführer obsiegende und die IV-Stelle unterliegende Partei. 7.2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7.3 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15. Februar 2013 für das vorliegende Verfahren einen Zeitaufwand von 10,15 Stunden geltend gemacht. Die detaillierte Abrechnung beinhaltet nun allerdings auch Bemühungen von 5,45 Stunden, die im Rahmen des Verwaltungsverfahrens bis zum Erlass der Rentenverfügung erbracht worden sind. Bei der Bemessung der Parteientschädigung für das versicherungsgerichtliche Verfahren wird aber praxisgemäss nur der im Rahmen des eigentlichen Beschwerdeverfahrens, d.h. der nach der Zustellung der Verfügung entstandene Aufwand berücksichtigt. Dies bedeutet, dass in casu lediglich der für den Zeitraum nach dem 11. Oktober 2012 (Versand der Rentenverfügung) ausgewiesene Aufwand von 4,7 Stunden, der sich umfangmässig in Anbetracht der sich stellenden Sachverhalts- und Rechtsfragen als angemessen erweist, entschädigt werden kann. Die Bemühungen sind zu dem in Sozialversicherungsprozessen praxisgemäss für durchschnittliche Fälle zur Anwendung gelangenden Stundenansatz von 250 Franken zu entschädigen. Im Weiteren hat der Rechtsvertreter in seiner Honorarnote Auslagen in der Höhe von Fr. 132.50 ausgewiesen. Der detaillierten Abrechnung kann allerdings nicht entnommen werden, in welchem Verfahrensstadium diese angefallen sind. Ein Teil der Auslagen stammt aber zweifellos ebenfalls aus dem Zeitraum vor Verfügungserlass. Insgesamt erscheint es deshalb als angemessen, die Hälfte der ausgewiesenen Auslagen von Fr. 132.50, also den Betrag von Fr. 66.25, im Rahmen der Parteientschädigung der IV-Stelle zu auferlegen. Demnach ist dem Beschwerdeführer eine Parteientschädigung in der Höhe von Fr. 1'340.55 (4,7 Stunden à Fr. 250.-- zuzüglich Auslagen von Fr. 66.25 + 8 % Mehrwertsteuer) zu Lasten der IV-Stelle zuzusprechen. Demgemäss wird e r k a n n t : 1. Die Beschwerde wird in dem Sinne gutgeheissen, als die angefochtenen Verfügungen der IV-Stelle Basel-Landschaft vom 11. Oktober 2012 aufgehoben werden und festgestellt wird, dass der Beschwerdeführer mit Wirkung ab 1. Januar 2005 Anspruch auf eine IV-Dreiviertelsrente und mit Wirkung ab 1. August 2010 auf eine IV-Viertelsrente hat. 2. Es werden keine Verfahrenskosten erhoben. Dem Beschwerdeführer wird der geleistete Kostenvorschuss in der Höhe von Fr. 600.-- zurückerstattet. 3. Die IV-Stelle Basel-Landschaft hat dem Beschwerdeführer eine Parteientschädigung in der Höhe von Fr. 1'340.55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